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9C322A" w:rsidP="008F1B17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0C33592" wp14:editId="0BEB1C40">
                  <wp:extent cx="838200" cy="876300"/>
                  <wp:effectExtent l="0" t="0" r="0" b="0"/>
                  <wp:docPr id="4964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B9769E" w:rsidRDefault="00B9769E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GÜNDOĞDU İLK/ORTAOKULU</w:t>
            </w:r>
          </w:p>
          <w:p w:rsidR="002073F9" w:rsidRPr="002073F9" w:rsidRDefault="00381CE5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ZİYARETÇİ ve TEDARİKÇİ TALİMATI</w:t>
            </w:r>
          </w:p>
          <w:p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9C322A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TL.048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9C322A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30.07.2020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9C322A" w:rsidP="009C322A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.....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Pr="00E93E15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</w:t>
      </w:r>
      <w:proofErr w:type="gramStart"/>
      <w:r w:rsidRPr="00323A89">
        <w:rPr>
          <w:rFonts w:ascii="Times New Roman" w:eastAsia="Times New Roman" w:hAnsi="Times New Roman"/>
          <w:szCs w:val="24"/>
        </w:rPr>
        <w:t>ateş</w:t>
      </w:r>
      <w:r>
        <w:rPr>
          <w:rFonts w:ascii="Times New Roman" w:eastAsia="Times New Roman" w:hAnsi="Times New Roman"/>
          <w:szCs w:val="24"/>
        </w:rPr>
        <w:t xml:space="preserve"> </w:t>
      </w:r>
      <w:r w:rsidRPr="00323A89">
        <w:rPr>
          <w:rFonts w:ascii="Times New Roman" w:eastAsia="Times New Roman" w:hAnsi="Times New Roman"/>
          <w:szCs w:val="24"/>
        </w:rPr>
        <w:t xml:space="preserve"> tespiti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halinde, karantina odasında veya belirlenmiş benzeri bir alanda izolasyon sağlanarak derhal 112 aranmalıdır.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>El hijyeni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 kartları temizlik dezenfektasyon filan programları doğrusunu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ardiya değişimlerinde güvenlik personeli tarafından ortak kullanılan trafik telefon gibi malzemelerin teslim öncesi uygun şekilde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bazlı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:rsidR="008F1B17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Dokunulduğunda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proofErr w:type="gramStart"/>
      <w:r>
        <w:rPr>
          <w:rFonts w:ascii="Times New Roman" w:hAnsi="Times New Roman"/>
          <w:color w:val="000000"/>
          <w:szCs w:val="24"/>
        </w:rPr>
        <w:t xml:space="preserve">kurum </w:t>
      </w:r>
      <w:r w:rsidRPr="00A91AEF">
        <w:rPr>
          <w:rFonts w:ascii="Times New Roman" w:hAnsi="Times New Roman"/>
          <w:color w:val="000000"/>
          <w:szCs w:val="24"/>
        </w:rPr>
        <w:t xml:space="preserve"> içinde</w:t>
      </w:r>
      <w:proofErr w:type="gramEnd"/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:rsidR="00A91AEF" w:rsidRPr="00A91AEF" w:rsidRDefault="00A91AEF" w:rsidP="00A91AEF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A91AEF">
        <w:rPr>
          <w:rFonts w:ascii="Times New Roman" w:hAnsi="Times New Roman"/>
          <w:color w:val="000000"/>
          <w:szCs w:val="24"/>
        </w:rPr>
        <w:t>sağlanmalıdır</w:t>
      </w:r>
      <w:proofErr w:type="gramEnd"/>
      <w:r w:rsidRPr="00A91AEF">
        <w:rPr>
          <w:rFonts w:ascii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F1B17" w:rsidRPr="00743953" w:rsidRDefault="008F1B17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B9769E" w:rsidRDefault="00B9769E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FC1A89" w:rsidRDefault="00B9769E" w:rsidP="00B9769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Abdulkadir DİLEKÇİ</w:t>
      </w:r>
    </w:p>
    <w:p w:rsidR="00B9769E" w:rsidRPr="00B9769E" w:rsidRDefault="00B9769E" w:rsidP="00B9769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Okul Müdürü</w:t>
      </w:r>
    </w:p>
    <w:sectPr w:rsidR="00B9769E" w:rsidRPr="00B9769E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360F5"/>
    <w:rsid w:val="002073F9"/>
    <w:rsid w:val="002945D6"/>
    <w:rsid w:val="002F428E"/>
    <w:rsid w:val="00360BD1"/>
    <w:rsid w:val="00381CE5"/>
    <w:rsid w:val="00526872"/>
    <w:rsid w:val="0062652D"/>
    <w:rsid w:val="00743953"/>
    <w:rsid w:val="007522E6"/>
    <w:rsid w:val="007E1424"/>
    <w:rsid w:val="008F1B17"/>
    <w:rsid w:val="009C322A"/>
    <w:rsid w:val="00A23266"/>
    <w:rsid w:val="00A51A6D"/>
    <w:rsid w:val="00A90FAF"/>
    <w:rsid w:val="00A91AEF"/>
    <w:rsid w:val="00B2264E"/>
    <w:rsid w:val="00B66970"/>
    <w:rsid w:val="00B9769E"/>
    <w:rsid w:val="00C06FD9"/>
    <w:rsid w:val="00C464AE"/>
    <w:rsid w:val="00E93E15"/>
    <w:rsid w:val="00EB451B"/>
    <w:rsid w:val="00F0739D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ibrahim</cp:lastModifiedBy>
  <cp:revision>2</cp:revision>
  <dcterms:created xsi:type="dcterms:W3CDTF">2020-10-13T09:35:00Z</dcterms:created>
  <dcterms:modified xsi:type="dcterms:W3CDTF">2020-10-13T09:35:00Z</dcterms:modified>
</cp:coreProperties>
</file>